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lang w:eastAsia="zh-CN"/>
        </w:rPr>
        <w:t>中国银行烟台分行</w:t>
      </w:r>
      <w:r>
        <w:rPr>
          <w:rFonts w:hint="eastAsia" w:asciiTheme="majorEastAsia" w:hAnsiTheme="majorEastAsia" w:eastAsiaTheme="majorEastAsia" w:cstheme="majorEastAsia"/>
          <w:b/>
          <w:bCs/>
          <w:sz w:val="36"/>
          <w:szCs w:val="36"/>
        </w:rPr>
        <w:t>为文旅企业平稳健康发展</w:t>
      </w:r>
    </w:p>
    <w:p>
      <w:pPr>
        <w:spacing w:line="640" w:lineRule="exact"/>
        <w:jc w:val="center"/>
        <w:rPr>
          <w:rFonts w:hint="eastAsia" w:asciiTheme="majorEastAsia" w:hAnsiTheme="majorEastAsia" w:eastAsiaTheme="majorEastAsia" w:cstheme="majorEastAsia"/>
          <w:b/>
          <w:bCs/>
          <w:sz w:val="36"/>
          <w:szCs w:val="36"/>
          <w:lang w:eastAsia="zh-CN"/>
        </w:rPr>
      </w:pPr>
      <w:r>
        <w:rPr>
          <w:rFonts w:hint="eastAsia" w:asciiTheme="majorEastAsia" w:hAnsiTheme="majorEastAsia" w:eastAsiaTheme="majorEastAsia" w:cstheme="majorEastAsia"/>
          <w:b/>
          <w:bCs/>
          <w:sz w:val="36"/>
          <w:szCs w:val="36"/>
        </w:rPr>
        <w:t>提供实效性金融服务</w:t>
      </w:r>
      <w:r>
        <w:rPr>
          <w:rFonts w:hint="eastAsia" w:asciiTheme="majorEastAsia" w:hAnsiTheme="majorEastAsia" w:eastAsiaTheme="majorEastAsia" w:cstheme="majorEastAsia"/>
          <w:b/>
          <w:bCs/>
          <w:sz w:val="36"/>
          <w:szCs w:val="36"/>
          <w:lang w:eastAsia="zh-CN"/>
        </w:rPr>
        <w:t>政策汇编</w:t>
      </w:r>
    </w:p>
    <w:p>
      <w:pPr>
        <w:spacing w:line="640" w:lineRule="exact"/>
        <w:jc w:val="center"/>
        <w:rPr>
          <w:rFonts w:hint="eastAsia" w:asciiTheme="majorEastAsia" w:hAnsiTheme="majorEastAsia" w:eastAsiaTheme="majorEastAsia" w:cstheme="majorEastAsia"/>
          <w:b/>
          <w:bCs/>
          <w:sz w:val="32"/>
          <w:szCs w:val="32"/>
          <w:lang w:eastAsia="zh-CN"/>
        </w:rPr>
      </w:pPr>
    </w:p>
    <w:p>
      <w:pPr>
        <w:spacing w:line="640" w:lineRule="exact"/>
        <w:ind w:firstLine="560" w:firstLineChars="200"/>
        <w:jc w:val="left"/>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rPr>
        <w:t>为进一步帮助支持文旅企业复工复产，积极推动文化旅游产业升温回暖，中国银行山东省分行</w:t>
      </w:r>
      <w:r>
        <w:rPr>
          <w:rFonts w:hint="eastAsia" w:asciiTheme="minorEastAsia" w:hAnsiTheme="minorEastAsia" w:eastAsiaTheme="minorEastAsia" w:cstheme="minorEastAsia"/>
          <w:bCs/>
          <w:sz w:val="28"/>
          <w:szCs w:val="28"/>
          <w:lang w:eastAsia="zh-CN"/>
        </w:rPr>
        <w:t>与</w:t>
      </w:r>
      <w:r>
        <w:rPr>
          <w:rFonts w:hint="eastAsia" w:asciiTheme="minorEastAsia" w:hAnsiTheme="minorEastAsia" w:eastAsiaTheme="minorEastAsia" w:cstheme="minorEastAsia"/>
          <w:bCs/>
          <w:sz w:val="28"/>
          <w:szCs w:val="28"/>
        </w:rPr>
        <w:t>省文化和旅游厅联合推出文旅企业融资优惠政策，向全省文旅企业提供更具实效性的金融服务。</w:t>
      </w:r>
      <w:r>
        <w:rPr>
          <w:rFonts w:hint="eastAsia" w:asciiTheme="minorEastAsia" w:hAnsiTheme="minorEastAsia" w:eastAsiaTheme="minorEastAsia" w:cstheme="minorEastAsia"/>
          <w:bCs/>
          <w:sz w:val="28"/>
          <w:szCs w:val="28"/>
          <w:lang w:eastAsia="zh-CN"/>
        </w:rPr>
        <w:t>中行烟台分行积极贯彻上级行指示，</w:t>
      </w:r>
      <w:r>
        <w:rPr>
          <w:rFonts w:hint="eastAsia" w:asciiTheme="minorEastAsia" w:hAnsiTheme="minorEastAsia" w:eastAsiaTheme="minorEastAsia" w:cstheme="minorEastAsia"/>
          <w:bCs/>
          <w:sz w:val="28"/>
          <w:szCs w:val="28"/>
        </w:rPr>
        <w:t>为文旅企业平稳健康发展提供实效性金融服务</w:t>
      </w:r>
      <w:r>
        <w:rPr>
          <w:rFonts w:hint="eastAsia" w:asciiTheme="minorEastAsia" w:hAnsiTheme="minorEastAsia" w:eastAsiaTheme="minorEastAsia" w:cstheme="minorEastAsia"/>
          <w:bCs/>
          <w:sz w:val="28"/>
          <w:szCs w:val="28"/>
          <w:lang w:eastAsia="zh-CN"/>
        </w:rPr>
        <w:t>。</w:t>
      </w:r>
      <w:r>
        <w:rPr>
          <w:rFonts w:hint="eastAsia" w:asciiTheme="minorEastAsia" w:hAnsiTheme="minorEastAsia" w:cstheme="minorEastAsia"/>
          <w:bCs/>
          <w:sz w:val="28"/>
          <w:szCs w:val="28"/>
          <w:lang w:eastAsia="zh-CN"/>
        </w:rPr>
        <w:t>现将相关政策汇编如下</w:t>
      </w:r>
      <w:r>
        <w:rPr>
          <w:rFonts w:hint="eastAsia" w:asciiTheme="minorEastAsia" w:hAnsiTheme="minorEastAsia" w:eastAsiaTheme="minorEastAsia" w:cstheme="minorEastAsia"/>
          <w:bCs/>
          <w:sz w:val="28"/>
          <w:szCs w:val="28"/>
          <w:lang w:eastAsia="zh-CN"/>
        </w:rPr>
        <w:t>：</w:t>
      </w:r>
    </w:p>
    <w:p>
      <w:pPr>
        <w:numPr>
          <w:ilvl w:val="0"/>
          <w:numId w:val="1"/>
        </w:numPr>
        <w:spacing w:line="640" w:lineRule="exact"/>
        <w:ind w:firstLine="562" w:firstLineChars="200"/>
        <w:jc w:val="lef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发挥平台优势，加强金融支持</w:t>
      </w:r>
    </w:p>
    <w:p>
      <w:pPr>
        <w:numPr>
          <w:ilvl w:val="0"/>
          <w:numId w:val="0"/>
        </w:numPr>
        <w:spacing w:line="640" w:lineRule="exact"/>
        <w:ind w:firstLine="560" w:firstLineChars="200"/>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eastAsia="zh-CN"/>
        </w:rPr>
        <w:t>我行将</w:t>
      </w:r>
      <w:r>
        <w:rPr>
          <w:rFonts w:hint="eastAsia" w:asciiTheme="minorEastAsia" w:hAnsiTheme="minorEastAsia" w:cstheme="minorEastAsia"/>
          <w:bCs/>
          <w:sz w:val="28"/>
          <w:szCs w:val="28"/>
          <w:lang w:eastAsia="zh-CN"/>
        </w:rPr>
        <w:t>与</w:t>
      </w:r>
      <w:r>
        <w:rPr>
          <w:rFonts w:hint="eastAsia" w:asciiTheme="minorEastAsia" w:hAnsiTheme="minorEastAsia" w:eastAsiaTheme="minorEastAsia" w:cstheme="minorEastAsia"/>
          <w:bCs/>
          <w:sz w:val="28"/>
          <w:szCs w:val="28"/>
          <w:lang w:eastAsia="zh-CN"/>
        </w:rPr>
        <w:t>烟台市文化和旅游局</w:t>
      </w:r>
      <w:r>
        <w:rPr>
          <w:rFonts w:hint="eastAsia" w:asciiTheme="minorEastAsia" w:hAnsiTheme="minorEastAsia" w:eastAsiaTheme="minorEastAsia" w:cstheme="minorEastAsia"/>
          <w:bCs/>
          <w:sz w:val="28"/>
          <w:szCs w:val="28"/>
        </w:rPr>
        <w:t>遵循优势互补、诚实守信的原则，坚持从实际出发，整合双方资源，增强文旅产业活力，全面推进文旅产业复苏。</w:t>
      </w:r>
      <w:r>
        <w:rPr>
          <w:rFonts w:hint="eastAsia" w:asciiTheme="minorEastAsia" w:hAnsiTheme="minorEastAsia" w:eastAsiaTheme="minorEastAsia" w:cstheme="minorEastAsia"/>
          <w:bCs/>
          <w:sz w:val="28"/>
          <w:szCs w:val="28"/>
          <w:lang w:eastAsia="zh-CN"/>
        </w:rPr>
        <w:t>我行将</w:t>
      </w:r>
      <w:r>
        <w:rPr>
          <w:rFonts w:hint="eastAsia" w:asciiTheme="minorEastAsia" w:hAnsiTheme="minorEastAsia" w:eastAsiaTheme="minorEastAsia" w:cstheme="minorEastAsia"/>
          <w:bCs/>
          <w:sz w:val="28"/>
          <w:szCs w:val="28"/>
        </w:rPr>
        <w:t>利用</w:t>
      </w:r>
      <w:r>
        <w:rPr>
          <w:rFonts w:hint="eastAsia" w:asciiTheme="minorEastAsia" w:hAnsiTheme="minorEastAsia" w:eastAsiaTheme="minorEastAsia" w:cstheme="minorEastAsia"/>
          <w:bCs/>
          <w:sz w:val="28"/>
          <w:szCs w:val="28"/>
          <w:lang w:eastAsia="zh-CN"/>
        </w:rPr>
        <w:t>文旅局</w:t>
      </w:r>
      <w:r>
        <w:rPr>
          <w:rFonts w:hint="eastAsia" w:asciiTheme="minorEastAsia" w:hAnsiTheme="minorEastAsia" w:eastAsiaTheme="minorEastAsia" w:cstheme="minorEastAsia"/>
          <w:bCs/>
          <w:sz w:val="28"/>
          <w:szCs w:val="28"/>
        </w:rPr>
        <w:t>平台</w:t>
      </w:r>
      <w:r>
        <w:rPr>
          <w:rFonts w:hint="eastAsia" w:asciiTheme="minorEastAsia" w:hAnsiTheme="minorEastAsia" w:eastAsiaTheme="minorEastAsia" w:cstheme="minorEastAsia"/>
          <w:bCs/>
          <w:sz w:val="28"/>
          <w:szCs w:val="28"/>
          <w:lang w:eastAsia="zh-CN"/>
        </w:rPr>
        <w:t>重点清单，</w:t>
      </w:r>
      <w:r>
        <w:rPr>
          <w:rFonts w:hint="eastAsia" w:asciiTheme="minorEastAsia" w:hAnsiTheme="minorEastAsia" w:eastAsiaTheme="minorEastAsia" w:cstheme="minorEastAsia"/>
          <w:bCs/>
          <w:sz w:val="28"/>
          <w:szCs w:val="28"/>
        </w:rPr>
        <w:t>以行内文旅行业专项授信政策为基础，详细了解企业相关情况后，为企业量身定制信贷服务方案，提供融资支持。</w:t>
      </w:r>
    </w:p>
    <w:p>
      <w:pPr>
        <w:numPr>
          <w:ilvl w:val="0"/>
          <w:numId w:val="1"/>
        </w:numPr>
        <w:spacing w:line="640" w:lineRule="exact"/>
        <w:ind w:firstLine="562" w:firstLineChars="200"/>
        <w:jc w:val="lef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延期还本付息，快捷高效审批</w:t>
      </w:r>
    </w:p>
    <w:p>
      <w:pPr>
        <w:numPr>
          <w:ilvl w:val="0"/>
          <w:numId w:val="0"/>
        </w:numPr>
        <w:spacing w:line="640" w:lineRule="exact"/>
        <w:ind w:firstLine="560" w:firstLineChars="200"/>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针对受疫情影响延迟复工或复工后面临暂时资金周转困难、复工后可正常经营的中国银行存量贷款企业，可根据企业申请，结合企业受疫情影响、经营及资信状况，给予企业一定期限的临时性延期还本和付息安排，还本付息日期最长可延至2020年6月30日。疫情防控期间，对推荐企业开设绿色审批通道和应急放款通道，实施优先受理、优先审批和优先放款，运用多种信息技术手段实现7*24小时在线审批，确保授信审批快捷高效。</w:t>
      </w:r>
    </w:p>
    <w:p>
      <w:pPr>
        <w:numPr>
          <w:ilvl w:val="0"/>
          <w:numId w:val="1"/>
        </w:numPr>
        <w:spacing w:line="640" w:lineRule="exact"/>
        <w:ind w:firstLine="562" w:firstLineChars="200"/>
        <w:jc w:val="lef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优化业务流程，快速响应需求</w:t>
      </w:r>
    </w:p>
    <w:p>
      <w:pPr>
        <w:numPr>
          <w:ilvl w:val="0"/>
          <w:numId w:val="0"/>
        </w:numPr>
        <w:spacing w:line="640" w:lineRule="exact"/>
        <w:ind w:firstLine="560" w:firstLineChars="200"/>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对于推荐文旅企业融资需求给予快速响应，中国银行建立分行专人跟进及省行回访机制。在接到文旅局提供的企业融资需求信息后，由普惠金融事业部一把手直接与企业对接，优化申贷全流程服务，时时跟踪业务开展进度，进一步减少文旅企业申贷材料、优化提案内容、简化尽责审查调查事项，及时满足相关企业的融资需求。定期评估合作成效，共同商议落实措施。</w:t>
      </w:r>
    </w:p>
    <w:p>
      <w:pPr>
        <w:numPr>
          <w:ilvl w:val="0"/>
          <w:numId w:val="1"/>
        </w:numPr>
        <w:spacing w:line="640" w:lineRule="exact"/>
        <w:ind w:firstLine="562" w:firstLineChars="200"/>
        <w:jc w:val="lef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降低融资成本，减轻企业负担</w:t>
      </w:r>
    </w:p>
    <w:p>
      <w:pPr>
        <w:numPr>
          <w:ilvl w:val="0"/>
          <w:numId w:val="0"/>
        </w:numPr>
        <w:spacing w:line="640" w:lineRule="exact"/>
        <w:ind w:firstLine="560" w:firstLineChars="200"/>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加大对文旅企业的利率优惠力度，切实降低企业信贷融资成本，减轻企业负担。对于名单中</w:t>
      </w:r>
      <w:r>
        <w:rPr>
          <w:rFonts w:hint="eastAsia" w:asciiTheme="minorEastAsia" w:hAnsiTheme="minorEastAsia" w:eastAsiaTheme="minorEastAsia" w:cstheme="minorEastAsia"/>
          <w:bCs/>
          <w:sz w:val="28"/>
          <w:szCs w:val="28"/>
          <w:lang w:eastAsia="zh-CN"/>
        </w:rPr>
        <w:t>的国标小型和微型</w:t>
      </w:r>
      <w:r>
        <w:rPr>
          <w:rFonts w:hint="eastAsia" w:asciiTheme="minorEastAsia" w:hAnsiTheme="minorEastAsia" w:eastAsiaTheme="minorEastAsia" w:cstheme="minorEastAsia"/>
          <w:bCs/>
          <w:sz w:val="28"/>
          <w:szCs w:val="28"/>
        </w:rPr>
        <w:t>企业，中国银行将根据实际情况给予最大利率优惠，不高于全行贷款审批平均利率水平</w:t>
      </w:r>
      <w:r>
        <w:rPr>
          <w:rFonts w:hint="eastAsia" w:asciiTheme="minorEastAsia" w:hAnsiTheme="minorEastAsia" w:eastAsiaTheme="minorEastAsia" w:cstheme="minorEastAsia"/>
          <w:bCs/>
          <w:sz w:val="28"/>
          <w:szCs w:val="28"/>
          <w:lang w:eastAsia="zh-CN"/>
        </w:rPr>
        <w:t>，其中</w:t>
      </w:r>
      <w:r>
        <w:rPr>
          <w:rFonts w:hint="eastAsia" w:asciiTheme="minorEastAsia" w:hAnsiTheme="minorEastAsia" w:eastAsiaTheme="minorEastAsia" w:cstheme="minorEastAsia"/>
          <w:bCs/>
          <w:sz w:val="28"/>
          <w:szCs w:val="28"/>
        </w:rPr>
        <w:t>抵押类贷款业务涉及的抵押评估费、登记费等相关费用一律由中国银行承担。</w:t>
      </w:r>
    </w:p>
    <w:p>
      <w:pPr>
        <w:numPr>
          <w:ilvl w:val="0"/>
          <w:numId w:val="1"/>
        </w:numPr>
        <w:spacing w:line="640" w:lineRule="exact"/>
        <w:ind w:firstLine="562" w:firstLineChars="200"/>
        <w:jc w:val="lef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安排贷款规模，保障足额投放</w:t>
      </w:r>
    </w:p>
    <w:p>
      <w:pPr>
        <w:numPr>
          <w:ilvl w:val="0"/>
          <w:numId w:val="0"/>
        </w:numPr>
        <w:spacing w:line="640" w:lineRule="exact"/>
        <w:ind w:firstLine="560" w:firstLineChars="200"/>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中国银行已安排文旅企业专项信贷规模，优先确保文旅企业复工复产融资需求。对省文化和旅游厅推荐的重点金融支持企业，予以足额贷款规模保障。</w:t>
      </w:r>
    </w:p>
    <w:p>
      <w:pPr>
        <w:numPr>
          <w:ilvl w:val="0"/>
          <w:numId w:val="1"/>
        </w:numPr>
        <w:spacing w:line="640" w:lineRule="exact"/>
        <w:ind w:firstLine="562" w:firstLineChars="200"/>
        <w:jc w:val="lef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创新贷款产品，多元化金融支持</w:t>
      </w:r>
    </w:p>
    <w:p>
      <w:pPr>
        <w:numPr>
          <w:ilvl w:val="0"/>
          <w:numId w:val="0"/>
        </w:numPr>
        <w:spacing w:line="640" w:lineRule="exact"/>
        <w:ind w:firstLine="560" w:firstLineChars="200"/>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为满足文旅企业经营的资金需求，中国银行创新推出针对文旅小</w:t>
      </w:r>
      <w:bookmarkStart w:id="0" w:name="_GoBack"/>
      <w:r>
        <w:rPr>
          <w:rFonts w:hint="eastAsia" w:asciiTheme="minorEastAsia" w:hAnsiTheme="minorEastAsia" w:eastAsiaTheme="minorEastAsia" w:cstheme="minorEastAsia"/>
          <w:bCs/>
          <w:sz w:val="28"/>
          <w:szCs w:val="28"/>
        </w:rPr>
        <w:t>微企业的“文旅春天贷”专项产品，优先采取中长期流贷满足相关企</w:t>
      </w:r>
      <w:bookmarkEnd w:id="0"/>
      <w:r>
        <w:rPr>
          <w:rFonts w:hint="eastAsia" w:asciiTheme="minorEastAsia" w:hAnsiTheme="minorEastAsia" w:eastAsiaTheme="minorEastAsia" w:cstheme="minorEastAsia"/>
          <w:bCs/>
          <w:sz w:val="28"/>
          <w:szCs w:val="28"/>
        </w:rPr>
        <w:t>业授信需求。为满足不同经营规模的文旅企业，中国银行将结合“税易贷”、“政银保”、“结算通宝”、“房抵快贷”、银团贷款、股权融资、债权融资等产品为文旅企业提供全方位金融服务。除传统贷款外，中国银行还可提供融资保函，信用证，承兑汇票开立、贴现及质押等综合融资业务。重点支持名单中企业可自主向所在地市中国银行进行贷款业务的申请、支用及还款。</w:t>
      </w:r>
    </w:p>
    <w:p>
      <w:pPr>
        <w:numPr>
          <w:ilvl w:val="0"/>
          <w:numId w:val="1"/>
        </w:numPr>
        <w:spacing w:line="640" w:lineRule="exact"/>
        <w:ind w:firstLine="562" w:firstLineChars="200"/>
        <w:jc w:val="lef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维护企业征信，纾解企业困难</w:t>
      </w:r>
    </w:p>
    <w:p>
      <w:pPr>
        <w:numPr>
          <w:ilvl w:val="0"/>
          <w:numId w:val="0"/>
        </w:numPr>
        <w:spacing w:line="640" w:lineRule="exact"/>
        <w:ind w:firstLine="560" w:firstLineChars="200"/>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对于受到疫情影响较大被迫出现的征信逾期，中国银行将按照有关规定积极做好征信异议处理；对受疫情影响较大的企业，中国银行将根据实际情况，通过续作展期、应急转贷、无还本续贷等方式，与企业齐心协力、共渡难关；对于因疫情影响导致贷款逾期、违约的企业，具备恢复生产经营意愿和能力的，中国银行将积极采取暂困帮扶、不良贷款重组等方式帮助其重建信用。</w:t>
      </w:r>
    </w:p>
    <w:p>
      <w:pPr>
        <w:numPr>
          <w:ilvl w:val="0"/>
          <w:numId w:val="1"/>
        </w:numPr>
        <w:spacing w:line="640" w:lineRule="exact"/>
        <w:ind w:firstLine="562" w:firstLineChars="200"/>
        <w:jc w:val="lef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举办“百场千户”，定制授信方案</w:t>
      </w:r>
    </w:p>
    <w:p>
      <w:pPr>
        <w:numPr>
          <w:ilvl w:val="0"/>
          <w:numId w:val="0"/>
        </w:numPr>
        <w:spacing w:line="640" w:lineRule="exact"/>
        <w:ind w:firstLine="560" w:firstLineChars="200"/>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积极对接文旅企业，充分了解其融资需求，推荐参加中国银行举办的“百场千户”银企对接会，由中行授信审批人与客户进行“一对一”的现场业务交流，根据实际情况为客户量身打造授信方案，打破信息不对称的现状，为企业提供个性化金融服务。</w:t>
      </w:r>
    </w:p>
    <w:p>
      <w:pPr>
        <w:numPr>
          <w:ilvl w:val="0"/>
          <w:numId w:val="1"/>
        </w:numPr>
        <w:spacing w:line="640" w:lineRule="exact"/>
        <w:ind w:firstLine="562" w:firstLineChars="200"/>
        <w:jc w:val="lef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明确“四个重点”，设定支持目标</w:t>
      </w:r>
    </w:p>
    <w:p>
      <w:pPr>
        <w:numPr>
          <w:ilvl w:val="0"/>
          <w:numId w:val="0"/>
        </w:numPr>
        <w:spacing w:line="640" w:lineRule="exact"/>
        <w:ind w:firstLine="560" w:firstLineChars="200"/>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中国银行将重点支持本次疫情影响较大的品质旅行社、A级景区、精品住宿、优质餐饮、文创企业等以上各类文旅企业；重点支持本次疫情影响较大但疫情之前经营情况良好，具有稳定经营性现金流的企业；重点支持短期流动资金贷款额度在2000万以内用于复工复产的企业；支持各个城市的重点文化和旅游建设项目。力争全行2020年为文旅企业提供贷款支持金额不低于20亿元。</w:t>
      </w:r>
    </w:p>
    <w:p>
      <w:pPr>
        <w:numPr>
          <w:ilvl w:val="0"/>
          <w:numId w:val="0"/>
        </w:numPr>
        <w:spacing w:line="640" w:lineRule="exact"/>
        <w:ind w:firstLine="562" w:firstLineChars="200"/>
        <w:jc w:val="lef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业务咨询电话：</w:t>
      </w:r>
    </w:p>
    <w:p>
      <w:pPr>
        <w:numPr>
          <w:ilvl w:val="0"/>
          <w:numId w:val="0"/>
        </w:numPr>
        <w:spacing w:line="640" w:lineRule="exact"/>
        <w:ind w:firstLine="560" w:firstLineChars="200"/>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张懿静 0535-6599142</w:t>
      </w:r>
    </w:p>
    <w:p>
      <w:pPr>
        <w:numPr>
          <w:ilvl w:val="0"/>
          <w:numId w:val="0"/>
        </w:numPr>
        <w:spacing w:line="640" w:lineRule="exact"/>
        <w:ind w:firstLine="560" w:firstLineChars="200"/>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成元文 0535-6593039</w:t>
      </w:r>
    </w:p>
    <w:p>
      <w:pPr>
        <w:numPr>
          <w:ilvl w:val="0"/>
          <w:numId w:val="0"/>
        </w:numPr>
        <w:spacing w:line="640" w:lineRule="exact"/>
        <w:ind w:firstLine="560" w:firstLineChars="200"/>
        <w:jc w:val="left"/>
        <w:rPr>
          <w:rFonts w:hint="eastAsia" w:asciiTheme="minorEastAsia" w:hAnsiTheme="minorEastAsia" w:eastAsiaTheme="minorEastAsia" w:cstheme="minorEastAsia"/>
          <w:bCs/>
          <w:sz w:val="28"/>
          <w:szCs w:val="28"/>
        </w:rPr>
      </w:pPr>
    </w:p>
    <w:p>
      <w:pPr>
        <w:spacing w:before="156" w:beforeLines="50" w:after="156" w:afterLines="50" w:line="48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注：中国银行信贷工厂授信准入标准：</w:t>
      </w:r>
    </w:p>
    <w:p>
      <w:pPr>
        <w:spacing w:before="156" w:beforeLines="50" w:after="156" w:afterLines="50" w:line="48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（一）企业营业执照有效。</w:t>
      </w:r>
    </w:p>
    <w:p>
      <w:pPr>
        <w:spacing w:before="156" w:beforeLines="50" w:after="156" w:afterLines="50" w:line="48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（二）信用记录良好。</w:t>
      </w:r>
    </w:p>
    <w:p>
      <w:pPr>
        <w:spacing w:before="156" w:beforeLines="50" w:after="156" w:afterLines="50" w:line="480" w:lineRule="exact"/>
        <w:ind w:firstLine="643" w:firstLineChars="200"/>
        <w:rPr>
          <w:rFonts w:hint="eastAsia" w:ascii="仿宋_GB2312" w:eastAsia="仿宋_GB2312"/>
          <w:b/>
          <w:sz w:val="32"/>
          <w:szCs w:val="28"/>
        </w:rPr>
      </w:pPr>
      <w:r>
        <w:rPr>
          <w:rFonts w:hint="eastAsia" w:ascii="仿宋" w:hAnsi="仿宋" w:eastAsia="仿宋" w:cs="仿宋"/>
          <w:b/>
          <w:sz w:val="32"/>
          <w:szCs w:val="32"/>
        </w:rPr>
        <w:t>（三）上</w:t>
      </w:r>
      <w:r>
        <w:rPr>
          <w:rFonts w:hint="eastAsia" w:ascii="仿宋_GB2312" w:eastAsia="仿宋_GB2312"/>
          <w:b/>
          <w:sz w:val="32"/>
          <w:szCs w:val="28"/>
        </w:rPr>
        <w:t>年纳税销售收入大于1000万元，不超过3亿元。</w:t>
      </w:r>
    </w:p>
    <w:p>
      <w:pPr>
        <w:spacing w:before="156" w:beforeLines="50" w:after="156" w:afterLines="50" w:line="480" w:lineRule="exact"/>
        <w:ind w:firstLine="643" w:firstLineChars="200"/>
        <w:rPr>
          <w:rFonts w:hint="eastAsia" w:ascii="仿宋_GB2312" w:eastAsia="仿宋_GB2312"/>
          <w:b/>
          <w:sz w:val="32"/>
          <w:szCs w:val="28"/>
        </w:rPr>
      </w:pPr>
      <w:r>
        <w:rPr>
          <w:rFonts w:hint="eastAsia" w:ascii="仿宋_GB2312" w:eastAsia="仿宋_GB2312"/>
          <w:b/>
          <w:sz w:val="32"/>
          <w:szCs w:val="28"/>
        </w:rPr>
        <w:t>（四）属于以下情况的，不符合</w:t>
      </w:r>
      <w:r>
        <w:rPr>
          <w:rFonts w:hint="eastAsia" w:ascii="仿宋" w:hAnsi="仿宋" w:eastAsia="仿宋" w:cs="仿宋"/>
          <w:b/>
          <w:sz w:val="32"/>
          <w:szCs w:val="32"/>
        </w:rPr>
        <w:t>准入标准</w:t>
      </w:r>
      <w:r>
        <w:rPr>
          <w:rFonts w:hint="eastAsia" w:ascii="仿宋_GB2312" w:eastAsia="仿宋_GB2312"/>
          <w:b/>
          <w:sz w:val="32"/>
          <w:szCs w:val="28"/>
        </w:rPr>
        <w:t>：</w:t>
      </w:r>
    </w:p>
    <w:p>
      <w:pPr>
        <w:spacing w:before="156" w:beforeLines="50" w:after="156" w:afterLines="50" w:line="480" w:lineRule="exact"/>
        <w:ind w:firstLine="643" w:firstLineChars="200"/>
        <w:rPr>
          <w:rFonts w:hint="eastAsia" w:ascii="仿宋_GB2312" w:eastAsia="仿宋_GB2312"/>
          <w:b/>
          <w:sz w:val="32"/>
          <w:szCs w:val="28"/>
        </w:rPr>
      </w:pPr>
      <w:r>
        <w:rPr>
          <w:rFonts w:hint="eastAsia" w:ascii="仿宋_GB2312" w:eastAsia="仿宋_GB2312"/>
          <w:b/>
          <w:sz w:val="32"/>
          <w:szCs w:val="28"/>
        </w:rPr>
        <w:t>1、仅具有管理职能的集团母公司。</w:t>
      </w:r>
    </w:p>
    <w:p>
      <w:pPr>
        <w:spacing w:before="156" w:beforeLines="50" w:after="156" w:afterLines="50" w:line="480" w:lineRule="exact"/>
        <w:ind w:firstLine="643" w:firstLineChars="200"/>
        <w:rPr>
          <w:rFonts w:hint="eastAsia" w:ascii="仿宋_GB2312" w:eastAsia="仿宋_GB2312"/>
          <w:b/>
          <w:sz w:val="32"/>
          <w:szCs w:val="28"/>
        </w:rPr>
      </w:pPr>
      <w:r>
        <w:rPr>
          <w:rFonts w:hint="eastAsia" w:ascii="仿宋_GB2312" w:eastAsia="仿宋_GB2312"/>
          <w:b/>
          <w:sz w:val="32"/>
          <w:szCs w:val="28"/>
        </w:rPr>
        <w:t>2、企业设计生产能力超出信贷工厂适用范围的新建企业（含目前阶段尚未投产、或投产但在试运行阶段未实现正常产能的情况）。</w:t>
      </w:r>
    </w:p>
    <w:p>
      <w:pPr>
        <w:spacing w:before="156" w:beforeLines="50" w:after="156" w:afterLines="50" w:line="480" w:lineRule="exact"/>
        <w:ind w:firstLine="643" w:firstLineChars="200"/>
        <w:rPr>
          <w:rFonts w:hint="eastAsia" w:ascii="仿宋_GB2312" w:eastAsia="仿宋_GB2312"/>
          <w:b/>
          <w:sz w:val="32"/>
          <w:szCs w:val="28"/>
        </w:rPr>
      </w:pPr>
      <w:r>
        <w:rPr>
          <w:rFonts w:hint="eastAsia" w:ascii="仿宋_GB2312" w:eastAsia="仿宋_GB2312"/>
          <w:b/>
          <w:sz w:val="32"/>
          <w:szCs w:val="28"/>
        </w:rPr>
        <w:t>3、电力、热力、燃气及水生产和供应业中的电力生产、金融业、房地产业、租赁业、商务服务业中的投资与资产管理业、融资性担保机构。</w:t>
      </w:r>
    </w:p>
    <w:p>
      <w:pPr>
        <w:spacing w:before="156" w:beforeLines="50" w:after="156" w:afterLines="50" w:line="480" w:lineRule="exact"/>
        <w:ind w:firstLine="643" w:firstLineChars="200"/>
        <w:rPr>
          <w:rFonts w:hint="eastAsia" w:ascii="仿宋_GB2312" w:eastAsia="仿宋_GB2312"/>
          <w:b/>
          <w:sz w:val="32"/>
          <w:szCs w:val="28"/>
        </w:rPr>
      </w:pPr>
      <w:r>
        <w:rPr>
          <w:rFonts w:hint="eastAsia" w:ascii="仿宋_GB2312" w:eastAsia="仿宋_GB2312"/>
          <w:b/>
          <w:sz w:val="32"/>
          <w:szCs w:val="28"/>
        </w:rPr>
        <w:t>4、国家发改委《产业结构调整指导目录》中明确为限制类和淘汰类的项目。</w:t>
      </w:r>
    </w:p>
    <w:p>
      <w:pPr>
        <w:spacing w:before="156" w:beforeLines="50" w:after="156" w:afterLines="50" w:line="480" w:lineRule="exact"/>
        <w:ind w:firstLine="643" w:firstLineChars="200"/>
        <w:rPr>
          <w:rFonts w:hint="eastAsia" w:asciiTheme="majorEastAsia" w:hAnsiTheme="majorEastAsia" w:eastAsiaTheme="majorEastAsia" w:cstheme="majorEastAsia"/>
          <w:sz w:val="32"/>
          <w:szCs w:val="32"/>
          <w:lang w:eastAsia="zh-CN"/>
        </w:rPr>
      </w:pPr>
      <w:r>
        <w:rPr>
          <w:rFonts w:hint="eastAsia" w:ascii="仿宋_GB2312" w:eastAsia="仿宋_GB2312"/>
          <w:b/>
          <w:sz w:val="32"/>
          <w:szCs w:val="28"/>
        </w:rPr>
        <w:t>5、法律、法规、监管规定及相关政策禁止或限制准入的行业。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97F965"/>
    <w:multiLevelType w:val="singleLevel"/>
    <w:tmpl w:val="5E97F96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D653B"/>
    <w:rsid w:val="16ED653B"/>
    <w:rsid w:val="38885123"/>
    <w:rsid w:val="3C6827CB"/>
    <w:rsid w:val="46505DFB"/>
    <w:rsid w:val="7F0233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宋体" w:eastAsiaTheme="minorEastAsia"/>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2020-04-14T02:27:00Z</dcterms:created>
  <dc:creator>6002914</dc:creator>
  <cp:lastModifiedBy>水母网巧龄太阳</cp:lastModifiedBy>
  <dcterms:modified xsi:type="dcterms:W3CDTF">2020-04-17T08:21:56Z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